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9403" w14:textId="77777777" w:rsidR="006B6456" w:rsidRDefault="006B6456" w:rsidP="006B6456">
      <w:pPr>
        <w:pStyle w:val="Cm"/>
      </w:pPr>
      <w:r>
        <w:t>Mózes első könyve (Genezis)</w:t>
      </w:r>
    </w:p>
    <w:p w14:paraId="73A63C1C" w14:textId="06D204EF" w:rsidR="00D2149C" w:rsidRDefault="006B6456" w:rsidP="006B6456">
      <w:pPr>
        <w:pStyle w:val="Alc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F23F4" wp14:editId="3694AEF4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882650" cy="88709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9C">
        <w:t>BIBLIAI SZABADEGYETEM</w:t>
      </w:r>
      <w:r>
        <w:t xml:space="preserve"> Debrecen 2021</w:t>
      </w:r>
    </w:p>
    <w:p w14:paraId="4683DE0F" w14:textId="77777777" w:rsidR="00D2149C" w:rsidRDefault="00D2149C" w:rsidP="00D2149C">
      <w:pPr>
        <w:pStyle w:val="Cmsor1"/>
      </w:pPr>
      <w:r>
        <w:t>A könyv elnevezése</w:t>
      </w:r>
    </w:p>
    <w:p w14:paraId="66ACAE0C" w14:textId="524CF52C" w:rsidR="00D2149C" w:rsidRDefault="00D2149C" w:rsidP="00D2149C">
      <w:pPr>
        <w:pStyle w:val="Nincstrkz"/>
        <w:jc w:val="both"/>
      </w:pPr>
      <w:r>
        <w:t>Mózes első könyve latinul a</w:t>
      </w:r>
      <w:r>
        <w:t xml:space="preserve"> Genezis</w:t>
      </w:r>
      <w:r>
        <w:t xml:space="preserve"> nevet viseli. A</w:t>
      </w:r>
      <w:r>
        <w:t xml:space="preserve"> szó jelentése: kezdet, eredet. A héber Bibliában a „Berésit” elnevezéssel találjuk</w:t>
      </w:r>
      <w:r>
        <w:t xml:space="preserve"> </w:t>
      </w:r>
      <w:r>
        <w:t>meg. A Károli Bibliában Mózes első könyvének van nevezve.</w:t>
      </w:r>
    </w:p>
    <w:p w14:paraId="105DE2A9" w14:textId="0CEC4011" w:rsidR="00D2149C" w:rsidRDefault="00D2149C" w:rsidP="00D2149C">
      <w:pPr>
        <w:pStyle w:val="Cmsor1"/>
      </w:pPr>
      <w:r>
        <w:t>Szerzője</w:t>
      </w:r>
    </w:p>
    <w:p w14:paraId="4B3A709E" w14:textId="79E70124" w:rsidR="00D2149C" w:rsidRDefault="00D2149C" w:rsidP="00D2149C">
      <w:pPr>
        <w:pStyle w:val="Nincstrkz"/>
        <w:jc w:val="both"/>
      </w:pPr>
      <w:r>
        <w:t>Mózes, akinek neve</w:t>
      </w:r>
      <w:r>
        <w:t xml:space="preserve"> </w:t>
      </w:r>
      <w:r>
        <w:t>egyiptomi eredetű, azonban héberül is van jelentése: „vízből kihúzott”. Mózes személyéről</w:t>
      </w:r>
      <w:r>
        <w:t xml:space="preserve"> </w:t>
      </w:r>
      <w:r>
        <w:t>egyetlen forrásunk van, a Szentírás, hiszen sem izraeli, sem egyiptomi szövegek nem említik</w:t>
      </w:r>
      <w:r>
        <w:t xml:space="preserve"> </w:t>
      </w:r>
      <w:r>
        <w:t>meg a nevét. S ez nem furcsa, hiszen személyével hozható kapcsolatba a nagy nemzeti</w:t>
      </w:r>
    </w:p>
    <w:p w14:paraId="1BFF2F26" w14:textId="77777777" w:rsidR="00D2149C" w:rsidRDefault="00D2149C" w:rsidP="00D2149C">
      <w:pPr>
        <w:pStyle w:val="Nincstrkz"/>
        <w:jc w:val="both"/>
      </w:pPr>
      <w:r>
        <w:t>katasztrófa, amikor a rabszolganép elmenekült Egyiptomból, az elsőszülöttek halála árán.</w:t>
      </w:r>
    </w:p>
    <w:p w14:paraId="744FC664" w14:textId="77777777" w:rsidR="00D2149C" w:rsidRDefault="00D2149C" w:rsidP="00D2149C">
      <w:pPr>
        <w:pStyle w:val="Cmsor1"/>
      </w:pPr>
      <w:r>
        <w:t>Keletkezése</w:t>
      </w:r>
    </w:p>
    <w:p w14:paraId="07F0CF8D" w14:textId="5D954885" w:rsidR="00D2149C" w:rsidRDefault="00D2149C" w:rsidP="00C13A55">
      <w:pPr>
        <w:pStyle w:val="Nincstrkz"/>
        <w:jc w:val="both"/>
      </w:pPr>
      <w:r>
        <w:t>Az ötkötetes mű bevezetője a Genezis. Szerzőségével kapcsolatban nagyon elterjedt az, hogy</w:t>
      </w:r>
      <w:r w:rsidR="00C13A55">
        <w:t xml:space="preserve"> </w:t>
      </w:r>
      <w:r>
        <w:t xml:space="preserve">nem Mózes az írója. Négy forrást említenek meg a szövegekben: </w:t>
      </w:r>
      <w:r w:rsidRPr="00C13A55">
        <w:rPr>
          <w:i/>
          <w:iCs/>
        </w:rPr>
        <w:t>Jahvista</w:t>
      </w:r>
      <w:r>
        <w:t xml:space="preserve">, </w:t>
      </w:r>
      <w:r w:rsidRPr="00C13A55">
        <w:rPr>
          <w:i/>
          <w:iCs/>
        </w:rPr>
        <w:t>Elohista</w:t>
      </w:r>
      <w:r>
        <w:t>,</w:t>
      </w:r>
      <w:r w:rsidR="00C13A55">
        <w:t xml:space="preserve"> </w:t>
      </w:r>
      <w:r w:rsidRPr="00C13A55">
        <w:rPr>
          <w:i/>
          <w:iCs/>
        </w:rPr>
        <w:t>Deuteronomista</w:t>
      </w:r>
      <w:r>
        <w:t xml:space="preserve">, valamint </w:t>
      </w:r>
      <w:r w:rsidRPr="00C13A55">
        <w:rPr>
          <w:i/>
          <w:iCs/>
        </w:rPr>
        <w:t>Papi</w:t>
      </w:r>
      <w:r>
        <w:t>. Mózes különböző hagyományanyagokat, és szakkifejezéseket</w:t>
      </w:r>
      <w:r w:rsidR="00C13A55">
        <w:t xml:space="preserve"> </w:t>
      </w:r>
      <w:r>
        <w:t>használt fel, azért, hogy mind a 12 törzs elfogadja az általa írt könyvet; mely nem jelenti azt,</w:t>
      </w:r>
      <w:r w:rsidR="00C13A55">
        <w:t xml:space="preserve"> </w:t>
      </w:r>
      <w:r>
        <w:t>hogy évszázados fejlődési folyamat eredménye lenne a könyv. Évezredes szájhagyományt is</w:t>
      </w:r>
      <w:r w:rsidR="00C13A55">
        <w:t xml:space="preserve"> </w:t>
      </w:r>
      <w:r>
        <w:t>felhasznált a hatalmas mű megírásához, többek között az Ábrahámmal kapcsolatos</w:t>
      </w:r>
      <w:r w:rsidR="00C13A55">
        <w:t xml:space="preserve"> </w:t>
      </w:r>
      <w:r>
        <w:t>szövegeknél, a teremtéstörténetnél, az ősi hely- és földrajzi neveknél. A mai tudomány</w:t>
      </w:r>
      <w:r w:rsidR="00C13A55">
        <w:t xml:space="preserve"> </w:t>
      </w:r>
      <w:r>
        <w:t>mindenekelőtt hosszú keletkezéstörténettel számol a Pentateuchos estében, de ez azonban</w:t>
      </w:r>
      <w:r w:rsidR="00C13A55">
        <w:t xml:space="preserve"> </w:t>
      </w:r>
      <w:r>
        <w:t>nem tartható. Meg kell említeni, az úgynevezett dubletteket, mely két, vagy több hagyomány</w:t>
      </w:r>
      <w:r w:rsidR="00C13A55">
        <w:t xml:space="preserve"> </w:t>
      </w:r>
      <w:r>
        <w:t>egybecsiszolásával alakult ki, továbbá a héber költészet is szívesen felhasználja ezeket az</w:t>
      </w:r>
      <w:r w:rsidR="00C13A55">
        <w:t xml:space="preserve"> </w:t>
      </w:r>
      <w:r>
        <w:t>eszközöket. A pusztai vándorlás alatt Mózes írta a többi négy könyvvel együtt a Genezis</w:t>
      </w:r>
      <w:r w:rsidR="00C13A55">
        <w:t xml:space="preserve"> </w:t>
      </w:r>
      <w:r>
        <w:t>könyvét, melyet pontosan megőriztek a törzsek, majd másolták és továbbadták az utókornak,</w:t>
      </w:r>
      <w:r w:rsidR="00C13A55">
        <w:t xml:space="preserve"> </w:t>
      </w:r>
      <w:r>
        <w:t>legvégül a maszoréták punktációval látták el és a Kánon részévé vált.</w:t>
      </w:r>
    </w:p>
    <w:p w14:paraId="20538709" w14:textId="3F701E44" w:rsidR="00C13A55" w:rsidRDefault="00C13A55" w:rsidP="00C13A55">
      <w:pPr>
        <w:pStyle w:val="Cmsor1"/>
      </w:pPr>
      <w:r>
        <w:t>A könyv szerkezete</w:t>
      </w:r>
    </w:p>
    <w:p w14:paraId="5557641F" w14:textId="010CB2D6" w:rsidR="00D2149C" w:rsidRDefault="00C13A55" w:rsidP="00C13A55">
      <w:pPr>
        <w:pStyle w:val="Nincstrkz"/>
        <w:jc w:val="both"/>
      </w:pPr>
      <w:r>
        <w:t>A</w:t>
      </w:r>
      <w:r w:rsidR="00D2149C">
        <w:t>z emberiség, illetve az izraeli ősatyák történeteit eleveníti meg, a világ teremtésétől kezdve az Egyiptomba való letelepedés időszakáig.</w:t>
      </w:r>
      <w:r>
        <w:t xml:space="preserve"> </w:t>
      </w:r>
      <w:r w:rsidR="00D2149C">
        <w:t xml:space="preserve">A </w:t>
      </w:r>
      <w:r w:rsidR="00D2149C">
        <w:t>Genezis</w:t>
      </w:r>
      <w:r w:rsidR="00D2149C">
        <w:t xml:space="preserve"> (1Mózes)</w:t>
      </w:r>
      <w:r w:rsidR="00D2149C">
        <w:t xml:space="preserve"> az ötkötetes Pentateuchos első</w:t>
      </w:r>
      <w:r w:rsidR="00D2149C">
        <w:t xml:space="preserve"> </w:t>
      </w:r>
      <w:r w:rsidR="00D2149C">
        <w:t>könyve. Az Írás a világ teremtésével kezdi mondanivalóját, majd Jákob temetésével fejeződik</w:t>
      </w:r>
      <w:r w:rsidR="00D2149C">
        <w:t xml:space="preserve"> </w:t>
      </w:r>
      <w:r w:rsidR="00D2149C">
        <w:t>be.</w:t>
      </w:r>
      <w:r>
        <w:t xml:space="preserve"> Két fő részből áll a következők szerint:</w:t>
      </w:r>
    </w:p>
    <w:p w14:paraId="2D1942B2" w14:textId="77777777" w:rsidR="00C13A55" w:rsidRPr="00C13A55" w:rsidRDefault="00C13A55" w:rsidP="00C13A55">
      <w:pPr>
        <w:pStyle w:val="Nincstrkz"/>
        <w:ind w:left="720"/>
        <w:rPr>
          <w:b/>
          <w:bCs/>
        </w:rPr>
      </w:pPr>
      <w:r w:rsidRPr="00C13A55">
        <w:rPr>
          <w:b/>
          <w:bCs/>
        </w:rPr>
        <w:t>I. A világ teremtése és az emberiség őstörténete 1-11. fejezet</w:t>
      </w:r>
    </w:p>
    <w:p w14:paraId="3D207437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Teremtés, Ádám és Éva</w:t>
      </w:r>
    </w:p>
    <w:p w14:paraId="21173BBF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és gyermekeik, utódaik Noéig</w:t>
      </w:r>
    </w:p>
    <w:p w14:paraId="135BD918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Az özönvíz története</w:t>
      </w:r>
    </w:p>
    <w:p w14:paraId="45A424DE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Bábel története, további nemzetségtáblák</w:t>
      </w:r>
    </w:p>
    <w:p w14:paraId="45272680" w14:textId="77777777" w:rsidR="00C13A55" w:rsidRPr="00C13A55" w:rsidRDefault="00C13A55" w:rsidP="00C13A55">
      <w:pPr>
        <w:pStyle w:val="Nincstrkz"/>
        <w:ind w:left="720"/>
        <w:rPr>
          <w:b/>
          <w:bCs/>
        </w:rPr>
      </w:pPr>
      <w:r w:rsidRPr="00C13A55">
        <w:rPr>
          <w:b/>
          <w:bCs/>
        </w:rPr>
        <w:t>II. Az ősatyák története 12-50. fejezet</w:t>
      </w:r>
    </w:p>
    <w:p w14:paraId="09FCCBC7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Ábrahám 12-25</w:t>
      </w:r>
    </w:p>
    <w:p w14:paraId="42224B83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Izsák 21-28</w:t>
      </w:r>
    </w:p>
    <w:p w14:paraId="38B7BF9A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Jákob (és Ézsau) 25-36</w:t>
      </w:r>
    </w:p>
    <w:p w14:paraId="7C3E36B5" w14:textId="77777777" w:rsidR="00C13A55" w:rsidRPr="00C13A55" w:rsidRDefault="00C13A55" w:rsidP="00C13A55">
      <w:pPr>
        <w:pStyle w:val="Nincstrkz"/>
        <w:numPr>
          <w:ilvl w:val="1"/>
          <w:numId w:val="1"/>
        </w:numPr>
      </w:pPr>
      <w:r w:rsidRPr="00C13A55">
        <w:t>József 37-50</w:t>
      </w:r>
    </w:p>
    <w:p w14:paraId="7751F6B9" w14:textId="77777777" w:rsidR="00D2149C" w:rsidRDefault="00D2149C" w:rsidP="00C13A55">
      <w:pPr>
        <w:pStyle w:val="Cmsor1"/>
      </w:pPr>
      <w:r>
        <w:t>Teológiai jellegzetességei</w:t>
      </w:r>
    </w:p>
    <w:p w14:paraId="18B491AE" w14:textId="3D378381" w:rsidR="00D2149C" w:rsidRDefault="00221AC3" w:rsidP="00221AC3">
      <w:pPr>
        <w:pStyle w:val="Nincstrkz"/>
        <w:jc w:val="both"/>
      </w:pPr>
      <w:r w:rsidRPr="00221AC3">
        <w:rPr>
          <w:b/>
          <w:bCs/>
          <w:u w:val="single"/>
        </w:rPr>
        <w:t>A terermtés története.</w:t>
      </w:r>
      <w:r>
        <w:t xml:space="preserve"> </w:t>
      </w:r>
      <w:r w:rsidR="00C13A55">
        <w:t xml:space="preserve">A </w:t>
      </w:r>
      <w:r w:rsidR="00D2149C">
        <w:t>Berésit (</w:t>
      </w:r>
      <w:r w:rsidR="00D2149C" w:rsidRPr="00C13A55">
        <w:rPr>
          <w:i/>
          <w:iCs/>
        </w:rPr>
        <w:t>kezdetben</w:t>
      </w:r>
      <w:r w:rsidR="00D2149C">
        <w:t>) szó egyetlen kivételtől</w:t>
      </w:r>
      <w:r w:rsidR="00C13A55">
        <w:t xml:space="preserve"> </w:t>
      </w:r>
      <w:r w:rsidR="00D2149C">
        <w:t xml:space="preserve">eltekintve (Ézsaiás 46,10) mindig </w:t>
      </w:r>
      <w:r w:rsidR="00D2149C" w:rsidRPr="00C13A55">
        <w:rPr>
          <w:i/>
          <w:iCs/>
        </w:rPr>
        <w:t>státus constructusban áll</w:t>
      </w:r>
      <w:r w:rsidR="00D2149C">
        <w:t xml:space="preserve"> (</w:t>
      </w:r>
      <w:r w:rsidR="00D2149C" w:rsidRPr="00C13A55">
        <w:rPr>
          <w:i/>
          <w:iCs/>
        </w:rPr>
        <w:t>birtokviszonyban</w:t>
      </w:r>
      <w:r w:rsidR="00D2149C">
        <w:t>). Fordítása:</w:t>
      </w:r>
      <w:r w:rsidR="00C13A55">
        <w:t xml:space="preserve"> </w:t>
      </w:r>
      <w:r w:rsidR="00C13A55" w:rsidRPr="00C13A55">
        <w:rPr>
          <w:i/>
          <w:iCs/>
        </w:rPr>
        <w:t>A t</w:t>
      </w:r>
      <w:r w:rsidR="00D2149C" w:rsidRPr="00C13A55">
        <w:rPr>
          <w:i/>
          <w:iCs/>
        </w:rPr>
        <w:t>eremtés kezdetén</w:t>
      </w:r>
      <w:r w:rsidR="00D2149C">
        <w:t xml:space="preserve">. A teremtés hat nap alatt zajlik le, ezáltal </w:t>
      </w:r>
      <w:r w:rsidR="00C13A55" w:rsidRPr="00C13A55">
        <w:rPr>
          <w:b/>
          <w:bCs/>
        </w:rPr>
        <w:t>r</w:t>
      </w:r>
      <w:r w:rsidR="00D2149C" w:rsidRPr="00C13A55">
        <w:rPr>
          <w:b/>
          <w:bCs/>
        </w:rPr>
        <w:t>itmikus szerkezet</w:t>
      </w:r>
      <w:r w:rsidR="00D2149C">
        <w:t>et kap a</w:t>
      </w:r>
      <w:r w:rsidR="00C13A55">
        <w:t xml:space="preserve"> </w:t>
      </w:r>
      <w:r w:rsidR="00D2149C">
        <w:t>szöveg. Érdekes megjegyezni, hogy a 3. és a 6. napon egyaránt 2-2 teremtési esemény</w:t>
      </w:r>
      <w:r w:rsidR="00C13A55">
        <w:t xml:space="preserve"> </w:t>
      </w:r>
      <w:r w:rsidR="00D2149C">
        <w:t>történik. Az este és reggel kifejezés refrén csodálatos költői ritmusba helyezi el az egész</w:t>
      </w:r>
      <w:r w:rsidR="00C13A55">
        <w:t xml:space="preserve"> </w:t>
      </w:r>
      <w:r w:rsidR="00D2149C">
        <w:t>fejezetet. Mégsem egyszerű költői szerkezettel állunk szemben, ahol a ritmus fontosabb lenne,</w:t>
      </w:r>
    </w:p>
    <w:p w14:paraId="52DA0B08" w14:textId="77777777" w:rsidR="00C13A55" w:rsidRDefault="00D2149C" w:rsidP="00221AC3">
      <w:pPr>
        <w:pStyle w:val="Nincstrkz"/>
        <w:jc w:val="both"/>
      </w:pPr>
      <w:r>
        <w:t>mint maga a mondanivaló.</w:t>
      </w:r>
    </w:p>
    <w:p w14:paraId="08A2E8AD" w14:textId="4E63F648" w:rsidR="00D2149C" w:rsidRDefault="00D2149C" w:rsidP="00221AC3">
      <w:pPr>
        <w:pStyle w:val="Nincstrkz"/>
        <w:jc w:val="both"/>
      </w:pPr>
      <w:r>
        <w:t xml:space="preserve">Több </w:t>
      </w:r>
      <w:r w:rsidRPr="00C13A55">
        <w:rPr>
          <w:b/>
          <w:bCs/>
        </w:rPr>
        <w:t>látszólagos ellentmondás</w:t>
      </w:r>
      <w:r>
        <w:t>sal is találkozhat a kedves olvasó, melyet értelmeznünk kell.</w:t>
      </w:r>
      <w:r w:rsidR="00C13A55">
        <w:t xml:space="preserve"> </w:t>
      </w:r>
      <w:r>
        <w:t>Többek között a negyedik napon található a Nap, a Hold, és a csillagok teremtése. Mi volt</w:t>
      </w:r>
      <w:r w:rsidR="00C13A55">
        <w:t xml:space="preserve"> </w:t>
      </w:r>
      <w:r>
        <w:t>eddig a világossággal? A JHVH szó ősi jelentése közelebb visz bennünket a végső</w:t>
      </w:r>
      <w:r w:rsidR="00C13A55">
        <w:t xml:space="preserve"> </w:t>
      </w:r>
      <w:r>
        <w:t>megoldáshoz: Tűz, Világosság. A csillagok sem az emberi sorsot határozzák meg, mint ahogy</w:t>
      </w:r>
      <w:r w:rsidR="00C13A55">
        <w:t xml:space="preserve"> </w:t>
      </w:r>
      <w:r>
        <w:t>a sumér kultusz tanította, hanem az éjszakát jelzi.</w:t>
      </w:r>
      <w:r w:rsidR="00C13A55">
        <w:t xml:space="preserve"> </w:t>
      </w:r>
      <w:r>
        <w:t>Az ’asza’ (csinálni) és a ’bara’ (teremteni) kifejezések használata eltérő. Az állatoknál a</w:t>
      </w:r>
      <w:r w:rsidR="00C13A55">
        <w:t xml:space="preserve"> </w:t>
      </w:r>
      <w:r>
        <w:t>’bara’ kifejezés található, az embernél a rxy „jácar” (formálni) kifejezést alkalmazza. Az</w:t>
      </w:r>
      <w:r w:rsidR="00221AC3">
        <w:t xml:space="preserve"> </w:t>
      </w:r>
      <w:r>
        <w:t xml:space="preserve">ember: az Elohím </w:t>
      </w:r>
      <w:r>
        <w:lastRenderedPageBreak/>
        <w:t>(Isten) képmása. A képi ábrázolás ugyan tiltott volt már a mózesi időben is,</w:t>
      </w:r>
      <w:r w:rsidR="00C13A55">
        <w:t xml:space="preserve"> </w:t>
      </w:r>
      <w:r>
        <w:t>akkor miként lehet az ember Isten képmása? Az ember Isten árnyéka (celem), mely a</w:t>
      </w:r>
      <w:r w:rsidR="00C13A55">
        <w:t xml:space="preserve"> </w:t>
      </w:r>
      <w:r>
        <w:t>Teremtőre úgy hasonlít, mint az árnyék az azt okozó valóságra. Egy másik hasonlat szerint,</w:t>
      </w:r>
      <w:r w:rsidR="00C13A55">
        <w:t xml:space="preserve"> </w:t>
      </w:r>
      <w:r>
        <w:t>mint a kép arra, akiről megfestették. Az ember a természet része, földből vétettünk,</w:t>
      </w:r>
      <w:r w:rsidR="00C13A55">
        <w:t xml:space="preserve"> </w:t>
      </w:r>
      <w:r>
        <w:t>rxy/”jácar” (formálni). Az egymás mellé rendeltség is itt jelenik meg. Az ókori</w:t>
      </w:r>
      <w:r w:rsidR="00C13A55">
        <w:t xml:space="preserve"> </w:t>
      </w:r>
      <w:r>
        <w:t>gondolkodásban ez teljesen elképzelhetetlen lett volna.</w:t>
      </w:r>
      <w:r w:rsidR="00221AC3">
        <w:t xml:space="preserve"> </w:t>
      </w:r>
      <w:r>
        <w:t>Amennyiben a Pentateuchos fejlődés</w:t>
      </w:r>
      <w:r w:rsidR="00C13A55">
        <w:t xml:space="preserve"> </w:t>
      </w:r>
      <w:r>
        <w:t>eredménye lenne, semmiképp nem találhatnánk benne ilyen forradalmian új gondolatokat.</w:t>
      </w:r>
      <w:r w:rsidR="00221AC3">
        <w:t xml:space="preserve"> </w:t>
      </w:r>
      <w:r>
        <w:t>Ádám: hármas jelentésárnyalata: vörös, ember, termőföld.</w:t>
      </w:r>
    </w:p>
    <w:p w14:paraId="031B6AFA" w14:textId="2BB3B029" w:rsidR="00D2149C" w:rsidRDefault="00D2149C" w:rsidP="00221AC3">
      <w:pPr>
        <w:pStyle w:val="Nincstrkz"/>
        <w:jc w:val="both"/>
      </w:pPr>
      <w:r w:rsidRPr="00221AC3">
        <w:rPr>
          <w:b/>
          <w:bCs/>
          <w:u w:val="single"/>
        </w:rPr>
        <w:t>Ábrahámi történetek</w:t>
      </w:r>
      <w:r w:rsidR="00221AC3" w:rsidRPr="00221AC3">
        <w:rPr>
          <w:b/>
          <w:bCs/>
          <w:u w:val="single"/>
        </w:rPr>
        <w:t>.</w:t>
      </w:r>
      <w:r w:rsidR="00221AC3">
        <w:t xml:space="preserve"> </w:t>
      </w:r>
      <w:r>
        <w:t>Ábrahám elhívása Hárán városából történt – amely mérhetetlen sok lemondással járt –, mely</w:t>
      </w:r>
      <w:r w:rsidR="00221AC3">
        <w:t xml:space="preserve"> </w:t>
      </w:r>
      <w:r>
        <w:t>nem csupán szegényítette, hanem gazdagította is a pátriárkát. Az áldás jelentősége a</w:t>
      </w:r>
      <w:r w:rsidR="00221AC3">
        <w:t xml:space="preserve"> </w:t>
      </w:r>
      <w:r>
        <w:t>teremtéssel kezdődik és itt folytatódik. Isten ígérete: nagy néppé válik Ábrahám családja,</w:t>
      </w:r>
    </w:p>
    <w:p w14:paraId="4362098F" w14:textId="77777777" w:rsidR="00221AC3" w:rsidRDefault="00D2149C" w:rsidP="00221AC3">
      <w:pPr>
        <w:pStyle w:val="Nincstrkz"/>
        <w:jc w:val="both"/>
      </w:pPr>
      <w:r>
        <w:t>azonban nincs fiú utódja. Sára, a feleség Ábrahámhoz adja szolgálóját Hágárt, a Hammurapi</w:t>
      </w:r>
      <w:r w:rsidR="00221AC3">
        <w:t xml:space="preserve"> </w:t>
      </w:r>
      <w:r>
        <w:t>törvényének 146 §-a alapján, ugyanis ha nincs utód a törvényes feleségétől, akkor az</w:t>
      </w:r>
      <w:r w:rsidR="00221AC3">
        <w:t xml:space="preserve"> </w:t>
      </w:r>
      <w:r>
        <w:t>felajánlhatja szolgálólányát ágyasnak, akitől végül Ismael megszületik. Végül Izsák</w:t>
      </w:r>
      <w:r w:rsidR="00221AC3">
        <w:t xml:space="preserve"> </w:t>
      </w:r>
      <w:r>
        <w:t>megszületését követően beteljesedik az ígéret</w:t>
      </w:r>
      <w:r w:rsidR="00221AC3">
        <w:t>. Izsák</w:t>
      </w:r>
      <w:r>
        <w:t xml:space="preserve"> nevének jelentése: „nevetés”. Ábrahámnak ez</w:t>
      </w:r>
      <w:r w:rsidR="00221AC3">
        <w:t xml:space="preserve"> </w:t>
      </w:r>
      <w:r>
        <w:t>a nagy próbája, vajon képes lenne-e bármit feláldozni Istenért. Jahve a fiát, Izsákot kéri tőle</w:t>
      </w:r>
      <w:r w:rsidR="00221AC3">
        <w:t xml:space="preserve"> </w:t>
      </w:r>
      <w:r>
        <w:t>égőáldozatként, amit az idős pátriárka kész meg is tenni, azonban Isten angyala megállítja</w:t>
      </w:r>
      <w:r w:rsidR="00221AC3">
        <w:t xml:space="preserve"> </w:t>
      </w:r>
      <w:r>
        <w:t>Ábrahám felemelt kezét.</w:t>
      </w:r>
    </w:p>
    <w:p w14:paraId="07A0CDEB" w14:textId="77777777" w:rsidR="00221AC3" w:rsidRDefault="00D2149C" w:rsidP="00221AC3">
      <w:pPr>
        <w:pStyle w:val="Nincstrkz"/>
        <w:jc w:val="both"/>
      </w:pPr>
      <w:r w:rsidRPr="00221AC3">
        <w:rPr>
          <w:b/>
          <w:bCs/>
          <w:u w:val="single"/>
        </w:rPr>
        <w:t>Izsák</w:t>
      </w:r>
      <w:r>
        <w:t xml:space="preserve"> és Rebeka házassága az isteni gondviselés és titokzatos áldás</w:t>
      </w:r>
      <w:r w:rsidR="00221AC3">
        <w:t xml:space="preserve"> </w:t>
      </w:r>
      <w:r>
        <w:t xml:space="preserve">megnyilvánulása. </w:t>
      </w:r>
      <w:r w:rsidRPr="00221AC3">
        <w:rPr>
          <w:b/>
          <w:bCs/>
          <w:u w:val="single"/>
        </w:rPr>
        <w:t>Jákob és Ézsau</w:t>
      </w:r>
      <w:r>
        <w:t xml:space="preserve"> harca és küzdelme, az elsőszülöttségi jog megvásárlása és</w:t>
      </w:r>
      <w:r w:rsidR="00221AC3">
        <w:t xml:space="preserve"> </w:t>
      </w:r>
      <w:r>
        <w:t>az atyai áldás csalás útján való megszerzése nem függetleníthető a gondviseléstől.</w:t>
      </w:r>
    </w:p>
    <w:p w14:paraId="1C538699" w14:textId="49B90AA4" w:rsidR="00D2149C" w:rsidRDefault="00D2149C" w:rsidP="00221AC3">
      <w:pPr>
        <w:pStyle w:val="Nincstrkz"/>
        <w:jc w:val="both"/>
      </w:pPr>
      <w:r w:rsidRPr="00221AC3">
        <w:rPr>
          <w:b/>
          <w:bCs/>
          <w:u w:val="single"/>
        </w:rPr>
        <w:t>Jákob és fiai</w:t>
      </w:r>
      <w:r w:rsidR="00221AC3">
        <w:t xml:space="preserve">. </w:t>
      </w:r>
      <w:r>
        <w:t>Jákob esetében ugyanaz a helyzet áll elő, mint Ábrahámnál, hosszú ideig nem született</w:t>
      </w:r>
      <w:r w:rsidR="00221AC3">
        <w:t xml:space="preserve"> </w:t>
      </w:r>
      <w:r>
        <w:t>gyermeke. Végül négy feleségétől (Lea, Zilpa, Ráhel, Bilha) 12 gyermek látta meg a</w:t>
      </w:r>
      <w:r w:rsidR="00221AC3">
        <w:t xml:space="preserve"> </w:t>
      </w:r>
      <w:r>
        <w:t>napvilágot, az elsőszülött Rúben volt.</w:t>
      </w:r>
      <w:r w:rsidR="00221AC3">
        <w:t xml:space="preserve"> </w:t>
      </w:r>
      <w:r>
        <w:t>József elkényeztetett fiatal, akit testvérei egy kútba dobtak, majd félve a testvérgyilkosságtól, inkább eladták rabszolgának Egyiptomba. József hithűsége miatt börtönbe került,</w:t>
      </w:r>
      <w:r w:rsidR="00221AC3">
        <w:t xml:space="preserve"> </w:t>
      </w:r>
      <w:r>
        <w:t>de</w:t>
      </w:r>
      <w:r w:rsidR="00221AC3">
        <w:t xml:space="preserve"> </w:t>
      </w:r>
      <w:r>
        <w:t>később az isteni gondviselés folytán a Fáraó bizalmasává vált. Családot alapított. Egyszer</w:t>
      </w:r>
      <w:r w:rsidR="00221AC3">
        <w:t xml:space="preserve"> </w:t>
      </w:r>
      <w:r>
        <w:t>azonban az éhség elől menekülő idegenekben felismeri testvéreit. Felfedi magát számukra,</w:t>
      </w:r>
      <w:r w:rsidR="00221AC3">
        <w:t xml:space="preserve"> </w:t>
      </w:r>
      <w:r>
        <w:t>majd az édesapját és az egész családját Egyiptomba hívja, ahol nagy néppé válnak. Később</w:t>
      </w:r>
      <w:r w:rsidR="00221AC3">
        <w:t xml:space="preserve"> </w:t>
      </w:r>
      <w:r>
        <w:t>meghal az idős családfő – Jákob, akit végakarata szerint – a kánaáni makpélai barlangba</w:t>
      </w:r>
      <w:r w:rsidR="00221AC3">
        <w:t xml:space="preserve"> </w:t>
      </w:r>
      <w:r>
        <w:t>temetnek el, Ábrahám és Izsák mellé.</w:t>
      </w:r>
      <w:r w:rsidR="00221AC3">
        <w:t xml:space="preserve"> </w:t>
      </w:r>
      <w:r>
        <w:t>Itt jegyezzük meg, hogy Jákob testét – egyiptomi szokásoknak megfelelően – mumifikálták. Az 50. fejezet</w:t>
      </w:r>
      <w:r w:rsidR="00221AC3">
        <w:t xml:space="preserve"> </w:t>
      </w:r>
      <w:r>
        <w:t>leírása az első írott emlék arról, hogy a Nílus-menti országban miként</w:t>
      </w:r>
      <w:r w:rsidR="00221AC3">
        <w:t xml:space="preserve"> </w:t>
      </w:r>
      <w:r>
        <w:t>zajlott a halott mumifikálása. A könyvben részletesen olvashatunk arról, hogy a balzsamozás</w:t>
      </w:r>
      <w:r w:rsidR="00221AC3">
        <w:t xml:space="preserve"> </w:t>
      </w:r>
      <w:r>
        <w:t>negyven napig tartott, melyet szakképzett orvosi csoport végzett el, majd az ún. siratás</w:t>
      </w:r>
      <w:r w:rsidR="00221AC3">
        <w:t xml:space="preserve"> </w:t>
      </w:r>
      <w:r>
        <w:t>időszaka következett, mely hetven napon át tartott.</w:t>
      </w:r>
      <w:r w:rsidR="00221AC3">
        <w:t xml:space="preserve"> </w:t>
      </w:r>
      <w:r>
        <w:t>A testvérek féltek József megtorlásától. Azonban az atya temetésén József nagylelkűsége</w:t>
      </w:r>
      <w:r w:rsidR="00221AC3">
        <w:t xml:space="preserve"> </w:t>
      </w:r>
      <w:r>
        <w:t>isteni gondviselésként jelenik meg a testvérek életében. A könyv József halálával fejeződik</w:t>
      </w:r>
      <w:r w:rsidR="00221AC3">
        <w:t xml:space="preserve"> </w:t>
      </w:r>
      <w:r>
        <w:t>be, mely egy nagyon érdekes szokást rögzít le. Olvashatunk arról, hogy József hogyan</w:t>
      </w:r>
      <w:r w:rsidR="00221AC3">
        <w:t xml:space="preserve"> </w:t>
      </w:r>
      <w:r>
        <w:t>végrendelkezett arról, hogy halálát követően a csontjait majd vigyék el az utódok akkor,</w:t>
      </w:r>
      <w:r w:rsidR="00221AC3">
        <w:t xml:space="preserve"> </w:t>
      </w:r>
      <w:r>
        <w:t>amikor Isten meglátogatja Izraelt és kivonulnak Egyiptomból az Ígéret Földjére.</w:t>
      </w:r>
    </w:p>
    <w:p w14:paraId="2FC6A63F" w14:textId="77777777" w:rsidR="00D2149C" w:rsidRDefault="00D2149C" w:rsidP="00D2149C">
      <w:pPr>
        <w:pStyle w:val="Nincstrkz"/>
        <w:jc w:val="right"/>
      </w:pPr>
    </w:p>
    <w:p w14:paraId="4B5F49F6" w14:textId="5DA5607A" w:rsidR="00D2149C" w:rsidRDefault="00D2149C" w:rsidP="00D2149C">
      <w:pPr>
        <w:pStyle w:val="Nincstrkz"/>
        <w:jc w:val="right"/>
      </w:pPr>
      <w:r>
        <w:t xml:space="preserve">Írta: </w:t>
      </w:r>
      <w:r>
        <w:t xml:space="preserve">Prof. </w:t>
      </w:r>
      <w:r>
        <w:t>Dr. Tokics Imre</w:t>
      </w:r>
      <w:r w:rsidR="00221AC3">
        <w:t xml:space="preserve"> és Restás László</w:t>
      </w:r>
    </w:p>
    <w:sectPr w:rsidR="00D2149C" w:rsidSect="006B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11A"/>
    <w:multiLevelType w:val="hybridMultilevel"/>
    <w:tmpl w:val="7A044E1E"/>
    <w:lvl w:ilvl="0" w:tplc="4E98A1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F00C1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C5A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C94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0AB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CF1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6DE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85B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02F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9C"/>
    <w:rsid w:val="00221AC3"/>
    <w:rsid w:val="006B6456"/>
    <w:rsid w:val="00C13A55"/>
    <w:rsid w:val="00D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D663"/>
  <w15:chartTrackingRefBased/>
  <w15:docId w15:val="{65B3E73A-602E-4B24-8798-8870601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21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21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21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214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2149C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D21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incstrkz">
    <w:name w:val="No Spacing"/>
    <w:uiPriority w:val="1"/>
    <w:qFormat/>
    <w:rsid w:val="00D2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19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33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235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009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85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7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36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21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67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348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Restás</dc:creator>
  <cp:keywords/>
  <dc:description/>
  <cp:lastModifiedBy>László Restás</cp:lastModifiedBy>
  <cp:revision>2</cp:revision>
  <dcterms:created xsi:type="dcterms:W3CDTF">2021-09-23T10:58:00Z</dcterms:created>
  <dcterms:modified xsi:type="dcterms:W3CDTF">2021-09-23T11:32:00Z</dcterms:modified>
</cp:coreProperties>
</file>